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3A" w:rsidRDefault="008C5A3A" w:rsidP="008C5A3A">
      <w:pPr>
        <w:pStyle w:val="1"/>
        <w:spacing w:line="240" w:lineRule="exact"/>
      </w:pPr>
      <w:r>
        <w:t>(110-85-0)哌嗪的理化及危险特性表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8"/>
        <w:gridCol w:w="2227"/>
        <w:gridCol w:w="2340"/>
      </w:tblGrid>
      <w:tr w:rsidR="008C5A3A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中文名：哌嗪；对二氮己环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  <w:szCs w:val="18"/>
              </w:rPr>
              <w:t>piperazine 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4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10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分子量：86.14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UN编号：2579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危险类别：第8.2类碱性腐蚀品。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</w:t>
            </w:r>
            <w:r>
              <w:rPr>
                <w:rFonts w:ascii="宋体" w:hAnsi="宋体" w:hint="eastAsia"/>
                <w:szCs w:val="18"/>
              </w:rPr>
              <w:t>82518 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CAS号：110-85-0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包装标志：</w:t>
            </w:r>
            <w:r>
              <w:rPr>
                <w:rFonts w:ascii="宋体" w:hAnsi="宋体" w:hint="eastAsia"/>
              </w:rPr>
              <w:t>腐蚀品。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包装类别： 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外观与性状：无色结晶，具有氨的气味，有强吸湿性。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溶解性：溶于水、甲醇、乙醇，微溶于苯、乙醚。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熔点（℃）：109.6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沸点（℃）：148.5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相对密度（水＝1）：无资料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</w:t>
            </w:r>
            <w:r>
              <w:rPr>
                <w:rFonts w:ascii="宋体" w:hAnsi="宋体" w:hint="eastAsia"/>
                <w:szCs w:val="18"/>
              </w:rPr>
              <w:t>30.3/111℃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   无资料</w:t>
            </w:r>
          </w:p>
        </w:tc>
      </w:tr>
      <w:tr w:rsidR="008C5A3A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  无资料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  无资料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107(O.C)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禁忌物：强氧化剂、强酸、酰基氯、酸酐。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燃烧分解产物：一氧化碳、二氧化碳、氧化氮。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避免接触的条件：光照、潮湿空气。</w:t>
            </w:r>
          </w:p>
        </w:tc>
      </w:tr>
      <w:tr w:rsidR="008C5A3A" w:rsidTr="0090435F">
        <w:trPr>
          <w:cantSplit/>
          <w:trHeight w:val="79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危险特性：本品可燃，具腐蚀性、刺激性，可致人体灼伤，具致敏性。</w:t>
            </w:r>
            <w:r>
              <w:rPr>
                <w:rFonts w:ascii="宋体" w:hAnsi="宋体" w:hint="eastAsia"/>
              </w:rPr>
              <w:t>遇明火、高热可燃。燃烧分解时, 放出有毒的氮氧化物气体。受热分解放出有毒气体。具有腐蚀性。</w:t>
            </w:r>
          </w:p>
        </w:tc>
      </w:tr>
      <w:tr w:rsidR="008C5A3A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灭火方法：消防人员须佩戴防毒面具、穿全身消防服，在上风向灭火。灭火剂：雾状水、泡沫、干粉、二氧化碳、砂土。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>1</w:t>
            </w:r>
            <w:r>
              <w:rPr>
                <w:rFonts w:ascii="宋体" w:hAnsi="宋体" w:hint="eastAsia"/>
              </w:rPr>
              <w:t>900 mg/kg(大鼠经口)；4000 mg/kg(兔经皮)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LD50：5400mg/m3，2小时(小鼠吸入)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8C5A3A" w:rsidTr="0090435F">
        <w:trPr>
          <w:cantSplit/>
          <w:trHeight w:val="665"/>
          <w:jc w:val="center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量接触本品，吸入或经皮吸收，能引起虚弱、视力模糊、共济失调、震颤、癫痫样抽搐。此外，本品能引起高铁血红蛋白血症，影响血液携氧能力，出现头痛、头晕、恶心、紫绀。眼接触引起严重刺激和灼伤。对皮肤有刺激性，可致灼伤。慢性影响：本品粉尘或液体，对皮肤和肺有致敏性，引起皮肤刺痒、皮疹和哮喘。 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91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皮肤接触：立即脱去污染的衣着，用大量流动清水冲洗至少15分钟。就医。  ※眼睛接触：立即提起眼睑，用大量流动清水或生理盐水彻底冲洗至少15分钟。就医。   ※吸入：迅速脱离现场至空气新鲜处。保持呼吸道通畅。如呼吸困难，给输氧。如呼吸停止，立即进行人工呼吸。就医。   ※食入：饮足量温水，催吐。就医。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工程控制：密闭操作，局部排风。提供安全淋浴和洗眼设备。   ※呼吸系统防护：空气中粉尘浓度超标时，必须佩戴自吸过滤式防尘口罩。紧急事态抢救或撤离时，应该佩戴空气呼吸器。   ※眼睛防护：戴化学安全防护眼镜。   ※身体防护：穿橡胶耐酸碱服。   ※手防护：戴橡胶耐酸碱手套。  ※其他：工作完毕，淋浴更衣。注意个人清洁卫生。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隔离泄漏污染区，限制出入。切断火源。建议应急处理人员戴防尘面具（全面罩），穿防酸碱工作服。用洁净的铲子收集于干燥、洁净、有盖的容器中，转移至安全场所。也可以用大量水冲洗，洗水稀释后放入废水系统。若大量泄漏，收集回收或运至废物处理场所处置。</w:t>
            </w:r>
          </w:p>
        </w:tc>
      </w:tr>
      <w:tr w:rsidR="008C5A3A" w:rsidTr="0090435F">
        <w:trPr>
          <w:cantSplit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A3A" w:rsidRDefault="008C5A3A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储存于阴凉、干燥、通风良好的库房。远离火种、热源。保持容器密封。应与氧化剂、酸类等分开存放，切忌混储。配备相应品种和数量的消防器材。储区应备有合适的材料收容泄漏物。起运时包装要完整，装载应稳妥。运输过程中要确保容器不泄漏、不倒塌、不坠落、不损坏。严禁与氧化剂、酸类、食用化学品等混装混运。运输途中应防曝晒、雨淋，防高温。 </w:t>
            </w:r>
          </w:p>
        </w:tc>
      </w:tr>
    </w:tbl>
    <w:p w:rsidR="00E63B54" w:rsidRDefault="008C5A3A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3A"/>
    <w:rsid w:val="008C5A3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7D841-F79A-446F-AF86-0E9262A2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C5A3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C5A3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zyhq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2021-06-02T07:11:00Z</dcterms:created>
  <dcterms:modified xsi:type="dcterms:W3CDTF">2021-06-02T07:11:00Z</dcterms:modified>
</cp:coreProperties>
</file>